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5C7C" w14:textId="77777777" w:rsidR="001D1813" w:rsidRPr="003A6D83" w:rsidRDefault="00970436" w:rsidP="003A6D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3A6D83">
        <w:rPr>
          <w:rFonts w:ascii="Times New Roman" w:hAnsi="Times New Roman" w:cs="Times New Roman"/>
          <w:b/>
          <w:bCs/>
          <w:sz w:val="24"/>
          <w:szCs w:val="24"/>
          <w:lang w:val="it-IT"/>
        </w:rPr>
        <w:t>La Questione Caldea &amp; Assira</w:t>
      </w:r>
    </w:p>
    <w:p w14:paraId="7FA451C2" w14:textId="77777777" w:rsidR="003A6D83" w:rsidRDefault="00970436" w:rsidP="003A6D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Presentazione </w:t>
      </w:r>
      <w:r w:rsidR="003A6D83">
        <w:rPr>
          <w:rFonts w:ascii="Times New Roman" w:hAnsi="Times New Roman" w:cs="Times New Roman"/>
          <w:b/>
          <w:bCs/>
          <w:sz w:val="24"/>
          <w:szCs w:val="24"/>
          <w:lang w:val="it-IT"/>
        </w:rPr>
        <w:t>Opera in quattro tomi</w:t>
      </w:r>
      <w:r w:rsidRPr="003A6D8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</w:p>
    <w:p w14:paraId="6670CDEC" w14:textId="515D3418" w:rsidR="00970436" w:rsidRPr="003A6D83" w:rsidRDefault="00970436" w:rsidP="003A6D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b/>
          <w:bCs/>
          <w:sz w:val="24"/>
          <w:szCs w:val="24"/>
          <w:lang w:val="it-IT"/>
        </w:rPr>
        <w:t>PIO, 9-IX-2019</w:t>
      </w:r>
    </w:p>
    <w:p w14:paraId="1098BE83" w14:textId="77777777" w:rsidR="00970436" w:rsidRPr="003A6D83" w:rsidRDefault="00970436" w:rsidP="003A6D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1765678" w14:textId="1C105021" w:rsidR="0075168D" w:rsidRPr="003A6D83" w:rsidRDefault="0075168D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Eminenza, Eccellenze, Egregi 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Ambasciatori e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Professori, </w:t>
      </w:r>
      <w:r w:rsidR="008141AA" w:rsidRPr="003A6D8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ari amici del PIO,</w:t>
      </w:r>
    </w:p>
    <w:p w14:paraId="4ED17105" w14:textId="40D8DCA2" w:rsidR="00970436" w:rsidRPr="003A6D83" w:rsidRDefault="0075168D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>Prima di tutto ringrazio per la vostra presenza che dimostra il vostro interesse per la Questione caldea e assira. Questione che è stata cos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ben presentata da due specialisti, visto che ambedue i relatori non solo sono storici delle Cristianità d’Oriente, ma hanno dedicato la loro vita a scrivere, a parlare e a condividere le fatiche e le speranze di queste Cristianità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che oggi ancora</w:t>
      </w:r>
      <w:r w:rsidR="00D44C97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sono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oggetto di persecuzione. Quindi ben umilmente li </w:t>
      </w:r>
      <w:r w:rsidR="0097043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ringrazio </w:t>
      </w:r>
      <w:r w:rsidR="00D44C97" w:rsidRPr="003A6D83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tutto il cuore </w:t>
      </w:r>
      <w:r w:rsidR="00970436" w:rsidRPr="003A6D83">
        <w:rPr>
          <w:rFonts w:ascii="Times New Roman" w:hAnsi="Times New Roman" w:cs="Times New Roman"/>
          <w:sz w:val="24"/>
          <w:szCs w:val="24"/>
          <w:lang w:val="it-IT"/>
        </w:rPr>
        <w:t>per le loro parole di apprezzamento e di affetto personale.</w:t>
      </w:r>
    </w:p>
    <w:p w14:paraId="53E9A6F4" w14:textId="61C99F2D" w:rsidR="00970436" w:rsidRPr="003A6D83" w:rsidRDefault="00970436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>Per questo motivo voglio subito ripagare la loro premura verso di me, confessandovi che</w:t>
      </w:r>
      <w:r w:rsidR="00D44C97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il Prof. Riccardi e il Prof.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Yacoub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sono stati i primi ad avermi ispirato a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impegnarmi in questa ricerca di cui oggi vediamo il frutto finale. Mi ricordo </w:t>
      </w:r>
      <w:r w:rsidR="00D44C97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essere stato invitato ad un convegno organizzato dalla Comunità di Sant’Egidio nel giugno 2015 per</w:t>
      </w:r>
      <w:r w:rsidR="008E4B30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ricordare il centenario del </w:t>
      </w:r>
      <w:proofErr w:type="spellStart"/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Seyfo</w:t>
      </w:r>
      <w:proofErr w:type="spellEnd"/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Anno della Spada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Prima di entrare nella sala fec</w:t>
      </w:r>
      <w:r w:rsidR="008E4B30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la conoscenza del prof. </w:t>
      </w:r>
      <w:r w:rsidR="0075168D" w:rsidRPr="003A6D83">
        <w:rPr>
          <w:rFonts w:ascii="Times New Roman" w:hAnsi="Times New Roman" w:cs="Times New Roman"/>
          <w:sz w:val="24"/>
          <w:szCs w:val="24"/>
          <w:lang w:val="it-IT"/>
        </w:rPr>
        <w:t>J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oseph </w:t>
      </w:r>
      <w:proofErr w:type="spellStart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Yacoub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che </w:t>
      </w:r>
      <w:r w:rsidR="008E4B30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mi 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ven</w:t>
      </w:r>
      <w:r w:rsidR="0075168D" w:rsidRPr="003A6D83">
        <w:rPr>
          <w:rFonts w:ascii="Times New Roman" w:hAnsi="Times New Roman" w:cs="Times New Roman"/>
          <w:sz w:val="24"/>
          <w:szCs w:val="24"/>
          <w:lang w:val="it-IT"/>
        </w:rPr>
        <w:t>ne</w:t>
      </w:r>
      <w:r w:rsidR="008E4B30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incontro</w:t>
      </w:r>
      <w:r w:rsidR="0075168D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mi disse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: “</w:t>
      </w:r>
      <w:proofErr w:type="spellStart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Vous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êtes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le </w:t>
      </w:r>
      <w:proofErr w:type="spellStart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Père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Georges </w:t>
      </w:r>
      <w:proofErr w:type="spellStart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Ruyssen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?”. Rispos</w:t>
      </w:r>
      <w:r w:rsidR="0075168D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di sì, e lui, </w:t>
      </w:r>
      <w:r w:rsidR="008E4B30" w:rsidRPr="003A6D83">
        <w:rPr>
          <w:rFonts w:ascii="Times New Roman" w:hAnsi="Times New Roman" w:cs="Times New Roman"/>
          <w:sz w:val="24"/>
          <w:szCs w:val="24"/>
          <w:lang w:val="it-IT"/>
        </w:rPr>
        <w:t>sic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come è un gande emotivo, mi abbracciava con una scintilla negli occhi dall’emozione, ringraziandomi per il grande servizio che rende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o anche alla causa degli assiri e dei caldei.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Stavo 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allora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per concludere l’opera </w:t>
      </w:r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La Questione Armena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ma nel terzo volume avevo già inserito in un allegato dei documenti sul massacro degli assiri, caldei e armeni a </w:t>
      </w:r>
      <w:proofErr w:type="spellStart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Ourmiah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a </w:t>
      </w:r>
      <w:proofErr w:type="spellStart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Salm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s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nel 1915 e nel 1918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non sapendo che la di lui famiglia appunto fu originaria di </w:t>
      </w:r>
      <w:proofErr w:type="spellStart"/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Ourmiah</w:t>
      </w:r>
      <w:proofErr w:type="spellEnd"/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Salmas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. Al convegno parl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ò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del genocidio armeno.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Ma fu l’intervento d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Prof. Riccardi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 colpirmi di più quando disse: “</w:t>
      </w:r>
      <w:proofErr w:type="spellStart"/>
      <w:r w:rsidR="009A6672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Seyfo</w:t>
      </w:r>
      <w:proofErr w:type="spellEnd"/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>, la strage dei siriaci, ortodossi e cattolici, dei caldei e degli assiri. Non è un dettaglio, ma una realtà storica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per cui si può parlare di strage dei cristiani e non solo degli armeni. L’equivoco fu dall’inizio: dimenticare gli altri cristiani”. Per me queste parole 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produssero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l’effetto di una bomba, 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fu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una provocazione: “come dimenticare?!”  No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!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ovevo fare qualcosa. </w:t>
      </w:r>
    </w:p>
    <w:p w14:paraId="45B6CC30" w14:textId="3CF81451" w:rsidR="001B3E6C" w:rsidRPr="003A6D83" w:rsidRDefault="000B3AA9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Sarà per quel motivo che le parole di 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Papa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Francesco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B3E6C" w:rsidRPr="003A6D83">
        <w:rPr>
          <w:rFonts w:ascii="Times New Roman" w:hAnsi="Times New Roman" w:cs="Times New Roman"/>
          <w:sz w:val="24"/>
          <w:szCs w:val="24"/>
          <w:lang w:val="it-IT"/>
        </w:rPr>
        <w:t>pronunciate durante la Santa Messa del ricordo del centenario del genocidio armeno nell’aprile 2015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1B3E6C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introducono come un leitmotiv ogni volume: “Ricordare è necessario, anzi, doveroso, perché laddove non sussiste la memoria significa che il male tiene ancora aperta la ferita”</w:t>
      </w:r>
      <w:r w:rsidR="001B3E6C" w:rsidRPr="003A6D8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0C41659" w14:textId="7363AD62" w:rsidR="009A6672" w:rsidRPr="003A6D83" w:rsidRDefault="001B3E6C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lastRenderedPageBreak/>
        <w:t>F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u allora che assunsi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davanti al pubblico presente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durante il convegno </w:t>
      </w:r>
      <w:r w:rsidR="0004012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tenuto a 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>Sant’Egidio,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667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l’impegno di raccogliere anche per questi “altri cristiani” i documenti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contenuti nei vari 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rchivi della Santa Sede, come lo stavo facendo per il genocidio armeno. 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Avevo già, n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el frattempo,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incontrato nell’Archivio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, allora ancora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Segreto</w:t>
      </w:r>
      <w:r w:rsidR="0089658B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Vaticano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nell’Archivio della Segreteria di Stato </w:t>
      </w:r>
      <w:r w:rsidR="0047108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 nell’Archivio della Congregazione per le Chiese orientali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dei documenti sugli assiri e i caldei.</w:t>
      </w:r>
    </w:p>
    <w:p w14:paraId="4D99FDB1" w14:textId="345EC8D2" w:rsidR="00A0289B" w:rsidRPr="003A6D83" w:rsidRDefault="0047108E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>Una volta terminat</w:t>
      </w:r>
      <w:r w:rsidR="00040122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 volumi sulla </w:t>
      </w:r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Questione Armena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decisi, senza speciale motivazione, di iniziare questa volta dall’archivio della Congregazione per le Chiese orientali. Come ho già detto, non so </w:t>
      </w:r>
      <w:r w:rsidR="00040122" w:rsidRPr="003A6D83">
        <w:rPr>
          <w:rFonts w:ascii="Times New Roman" w:hAnsi="Times New Roman" w:cs="Times New Roman"/>
          <w:sz w:val="24"/>
          <w:szCs w:val="24"/>
          <w:lang w:val="it-IT"/>
        </w:rPr>
        <w:t>bene il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perché, </w:t>
      </w:r>
      <w:r w:rsidR="0004012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forse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avevo due motivi strategici.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Il primo fu che e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ro sicuro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di essere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ricevuto a braccia aperte dal Prefetto il Cardinale </w:t>
      </w:r>
      <w:proofErr w:type="spellStart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Sandri</w:t>
      </w:r>
      <w:proofErr w:type="spellEnd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dal Segretario </w:t>
      </w:r>
      <w:proofErr w:type="spellStart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Vasil</w:t>
      </w:r>
      <w:proofErr w:type="spellEnd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’ e soprattutto dall’archivista della Congregazione, il Dott. Rigotti. E poi sapevo che potevo usufruire di quell’immenso privilegio che mi aveva concesso </w:t>
      </w:r>
      <w:proofErr w:type="spellStart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Vasil</w:t>
      </w:r>
      <w:proofErr w:type="spellEnd"/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’, cioè di poter riprodurre gratis tutti i documenti che volevo. Eh, beh s</w:t>
      </w:r>
      <w:r w:rsidR="00405436" w:rsidRPr="003A6D83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, non era da disprezzare. Ma poi questa scelta fu provvidenziale per la</w:t>
      </w:r>
      <w:r w:rsidR="0040543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mole di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documenti presenti in quest’archivio. Stimo che almeno </w:t>
      </w:r>
      <w:r w:rsidR="0040543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>70% dei documenti</w:t>
      </w:r>
      <w:r w:rsidR="0040543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li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ho trovat</w:t>
      </w:r>
      <w:r w:rsidR="00405436" w:rsidRPr="003A6D83">
        <w:rPr>
          <w:rFonts w:ascii="Times New Roman" w:hAnsi="Times New Roman" w:cs="Times New Roman"/>
          <w:sz w:val="24"/>
          <w:szCs w:val="24"/>
          <w:lang w:val="it-IT"/>
        </w:rPr>
        <w:t>i lì</w:t>
      </w:r>
      <w:r w:rsidR="00D907BD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insieme alle rare fotografie di profughi assiro-caldei. </w:t>
      </w:r>
      <w:r w:rsidR="00A0289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Poi mi hanno davvero assistito i due giovani archivisti che vi lavoravano allora: il Dott. Piero del Prete e Matteo Monte che per tanti mesi mi hanno accolto col sorriso e aiutato a rintracciare i faldoni talvolta ben nascosti nel magazzino.</w:t>
      </w:r>
      <w:r w:rsidR="00E71A7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05436" w:rsidRPr="003A6D83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E71A7F" w:rsidRPr="003A6D83">
        <w:rPr>
          <w:rFonts w:ascii="Times New Roman" w:hAnsi="Times New Roman" w:cs="Times New Roman"/>
          <w:sz w:val="24"/>
          <w:szCs w:val="24"/>
          <w:lang w:val="it-IT"/>
        </w:rPr>
        <w:t>ono</w:t>
      </w:r>
      <w:r w:rsidR="0040543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loro</w:t>
      </w:r>
      <w:r w:rsidR="00E71A7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>immensamente</w:t>
      </w:r>
      <w:r w:rsidR="00E71A7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grato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(anche perché sono presenti oggi fra di noi)</w:t>
      </w:r>
      <w:r w:rsidR="00E71A7F" w:rsidRPr="003A6D83">
        <w:rPr>
          <w:rFonts w:ascii="Times New Roman" w:hAnsi="Times New Roman" w:cs="Times New Roman"/>
          <w:sz w:val="24"/>
          <w:szCs w:val="24"/>
          <w:lang w:val="it-IT"/>
        </w:rPr>
        <w:t>!</w:t>
      </w:r>
    </w:p>
    <w:p w14:paraId="27A65355" w14:textId="45EC47F4" w:rsidR="00E71A7F" w:rsidRPr="003A6D83" w:rsidRDefault="00E71A7F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In un secondo tempo mi sono recato dall’Archivio Segreto Vaticano e dall’Archivio storico della Segreteria di Stato dove nel primo archivio mi aspettava il mio caro amico e archivista Dott. Giovanni Coco. Già dagli anni della mia ricerca sugli armeni 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i lega un’amicizia fraterna. Quindi il suo appoggio, aiuto, consiglio mi era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assicurat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fu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>rono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, come al solito,</w:t>
      </w:r>
      <w:r w:rsidR="00EA5474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preziosi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. Potevo andare avanti con passi di gigant</w:t>
      </w:r>
      <w:r w:rsidR="00EA5474" w:rsidRPr="003A6D8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perché 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791006" w:rsidRPr="003A6D83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ott. Coco mi indicava tutti i faldoni da richiedere. Poi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ho completato tutto con l’Archivio della Segreteria di Stato dove </w:t>
      </w:r>
      <w:r w:rsidR="00D907BD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un'altra 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guida </w:t>
      </w:r>
      <w:r w:rsidR="00D907BD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preziosa, anzi un connazionale fiammingo, il Dott. </w:t>
      </w:r>
      <w:proofErr w:type="spellStart"/>
      <w:r w:rsidR="00D907BD" w:rsidRPr="003A6D83">
        <w:rPr>
          <w:rFonts w:ascii="Times New Roman" w:hAnsi="Times New Roman" w:cs="Times New Roman"/>
          <w:sz w:val="24"/>
          <w:szCs w:val="24"/>
          <w:lang w:val="it-IT"/>
        </w:rPr>
        <w:t>Ickx</w:t>
      </w:r>
      <w:proofErr w:type="spellEnd"/>
      <w:r w:rsidR="00D907BD" w:rsidRPr="003A6D83">
        <w:rPr>
          <w:rFonts w:ascii="Times New Roman" w:hAnsi="Times New Roman" w:cs="Times New Roman"/>
          <w:sz w:val="24"/>
          <w:szCs w:val="24"/>
          <w:lang w:val="it-IT"/>
        </w:rPr>
        <w:t>, responsabile dell’Archivio storico, mi ha facilitato ogni ricerca e riproduzione d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D907BD" w:rsidRPr="003A6D83">
        <w:rPr>
          <w:rFonts w:ascii="Times New Roman" w:hAnsi="Times New Roman" w:cs="Times New Roman"/>
          <w:sz w:val="24"/>
          <w:szCs w:val="24"/>
          <w:lang w:val="it-IT"/>
        </w:rPr>
        <w:t>i documenti.</w:t>
      </w:r>
    </w:p>
    <w:p w14:paraId="0CA36EB3" w14:textId="4F1B68E2" w:rsidR="00791006" w:rsidRPr="003A6D83" w:rsidRDefault="005924A0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>Devo dire che n</w:t>
      </w:r>
      <w:r w:rsidR="00791006" w:rsidRPr="003A6D83">
        <w:rPr>
          <w:rFonts w:ascii="Times New Roman" w:hAnsi="Times New Roman" w:cs="Times New Roman"/>
          <w:sz w:val="24"/>
          <w:szCs w:val="24"/>
          <w:lang w:val="it-IT"/>
        </w:rPr>
        <w:t>on ho mai incontrato nessuna difficoltà per accedere a tutti documenti da me richiesti e sottoscrivo le parole di Papa Francesco rivolte agli officiali degli Archivi Vaticani per l’apertura della documentazione su Papa Pio XII, nel marzo scorso: «E la Chiesa non ha paura della storia, anzi la ama, e vorrebbe amarla di più e meglio, come la ama Dio!».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quindi gli archivi del Vaticano non hanno nulla di nascondere o di segreto! Come </w:t>
      </w:r>
      <w:r w:rsidR="00995E5C" w:rsidRPr="003A6D83">
        <w:rPr>
          <w:rFonts w:ascii="Times New Roman" w:hAnsi="Times New Roman" w:cs="Times New Roman"/>
          <w:sz w:val="24"/>
          <w:szCs w:val="24"/>
          <w:lang w:val="it-IT"/>
        </w:rPr>
        <w:t>peraltro</w:t>
      </w:r>
      <w:r w:rsidR="0085080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palesa la sua recente titolatura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Archivio Apostolico Vaticano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2D7AA2A" w14:textId="7E485E99" w:rsidR="00D907BD" w:rsidRPr="003A6D83" w:rsidRDefault="00791006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>Tuttavia, l</w:t>
      </w:r>
      <w:r w:rsidR="00D907BD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 maggior difficoltà incontrata 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>fu che il materiale archivistico è disseminato in tanti fondi diversi per il semplice motivo che gli assir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caldei, dopo la partizione dell’Impero ottomano in seguito alla Prima Guerra 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lastRenderedPageBreak/>
        <w:t>mondiale, si diffusero non solo sul territorio della Turchia (Anatolia), ma anche nelle regioni della Sir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>a (Mandato francese) e dell’Iraq (Mandato britannico e poi Regno dell’Iraq), senza dimenticare la loro concentrazione nei paesi della Persia (</w:t>
      </w:r>
      <w:proofErr w:type="spellStart"/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>Salmas</w:t>
      </w:r>
      <w:proofErr w:type="spellEnd"/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924A0" w:rsidRPr="003A6D83">
        <w:rPr>
          <w:rFonts w:ascii="Times New Roman" w:hAnsi="Times New Roman" w:cs="Times New Roman"/>
          <w:sz w:val="24"/>
          <w:szCs w:val="24"/>
          <w:lang w:val="it-IT"/>
        </w:rPr>
        <w:t>&amp;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>Ourmiah</w:t>
      </w:r>
      <w:proofErr w:type="spellEnd"/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oggi Iran). Questo ci ha portato a consultare per esempio i fondi delle varie 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>elegazioni apostoliche in Turchia, Siria, Iraq e in Persia, nonché i fondi d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>i tutte le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diocesi caldee in quest</w:t>
      </w:r>
      <w:r w:rsidR="000E1795" w:rsidRPr="003A6D83">
        <w:rPr>
          <w:rFonts w:ascii="Times New Roman" w:hAnsi="Times New Roman" w:cs="Times New Roman"/>
          <w:sz w:val="24"/>
          <w:szCs w:val="24"/>
          <w:lang w:val="it-IT"/>
        </w:rPr>
        <w:t>i paesi</w:t>
      </w:r>
      <w:r w:rsidR="000B3AA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9CFF676" w14:textId="174B576C" w:rsidR="000E1795" w:rsidRPr="003A6D83" w:rsidRDefault="000E1795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 cosa potrei paragonare il tipo di lavoro di questo genere? 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Quando ero bambino mi piacevano molto i puzzle. Mi ricordo che quando avevo solo 7 anni i miei genitori mi hanno regalato un puzzle dell’affresco di 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>Benozzo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Gozzoli </w:t>
      </w:r>
      <w:r w:rsidR="00F303F6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I Re M</w:t>
      </w:r>
      <w:r w:rsidR="00D228A3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a</w:t>
      </w:r>
      <w:r w:rsidR="00F303F6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gi 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della cappella Medici-Riccardi a Firenze. Quindi, come per la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confezione di un puzzle uno raccoglie uno per uno i documenti e li trascrivi come i pezzi d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puzzle che vengono girati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poi 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uno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cataloga i documenti non per colore ma per data, poi prov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collegarli 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metterli insieme e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esce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con fatica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l’immagine finale riprodotta. Tutta con pazienza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concentrazione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memoria, esattamente come con un puzzle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>Qui si ferma purtroppo il paragone. L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 differenza con confezionare un puzzle è che 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>con il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puzzle, tutti 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pezzi si trovano già insieme 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in un’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unica scatola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(i documenti no, </w:t>
      </w:r>
      <w:r w:rsidR="00251B57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tu 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>devi andare a caccia in tanti faldoni)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, poi si sa in anticipo quanti pezzi ci sono (500, 1.000, 2.000)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quindi cominci con la cornic</w:t>
      </w:r>
      <w:r w:rsidR="00D228A3" w:rsidRPr="003A6D8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. Invece,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con i documenti non lo sai, qui ci sono esattamente 1.103 e poi ci sono sempre pezzettini che mancano perché introvabil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o persi;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anzi 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ci sono anche i 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>falsi pezzettini di cui si annuncia l’esistenza ma che in realtà non esistono: cos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228A3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>ho messo del tempo per risolvere l’enigma della famosa lettera di Pio XI al nuovo Scià di Persia Rezza Pahlavi dell’8 settembre 19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>28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Dopo aver </w:t>
      </w:r>
      <w:r w:rsidR="00C6715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mosso smosso 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>rimosso cielo e terra per rintracciarl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solo alla fine mi sono accorto che non 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esisteva ma che 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si trattava, malgrado il suo nome di lettera pontificia, 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di un autografo di Pio XI ma 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>di una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lettera del Cardinale Segretario di Stato Gasparri del 4 gennaio 1926. Solo con un altro documento ho saputo che quella lettera cardinalizia fu consegnata un anno e mezzo dopo…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appunto nel settembre 1928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EF0CC2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quindi altro che la posta italiana!!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poi con un puzzle uno visualizza già prima di iniziare l’immagine finale che realizzerà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>, un paesaggio, un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a pittura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che ne so</w:t>
      </w:r>
      <w:r w:rsidR="00C67151" w:rsidRPr="003A6D83">
        <w:rPr>
          <w:rFonts w:ascii="Times New Roman" w:hAnsi="Times New Roman" w:cs="Times New Roman"/>
          <w:sz w:val="24"/>
          <w:szCs w:val="24"/>
          <w:lang w:val="it-IT"/>
        </w:rPr>
        <w:t>!?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Con i documenti, no, è solo</w:t>
      </w:r>
      <w:r w:rsidR="00C6715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in dirittura d’arrivo</w:t>
      </w:r>
      <w:r w:rsidR="00191449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quando un</w:t>
      </w:r>
      <w:r w:rsidR="00F303F6" w:rsidRPr="003A6D8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fa la rilettura paziente di tutti i documenti uno per uno</w:t>
      </w:r>
      <w:r w:rsidR="00191449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che emerge lentamente un quadro finale</w:t>
      </w:r>
      <w:r w:rsidR="00FF4B4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della situazione</w:t>
      </w:r>
      <w:r w:rsidR="00B23EFA" w:rsidRPr="003A6D8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6A7CF46" w14:textId="2FEB66E7" w:rsidR="001B3E6C" w:rsidRPr="003A6D83" w:rsidRDefault="001B3E6C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Tuttavia, vorrei approfittare del tempo che mi resta per dire due parole sulla dedica dei volumi. Ciascun volume è dedicato ad un vescovo caldeo martire nel periodo 1915-1918 e di cui il processo di beatificazione è in corso. Si tratta di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Addaï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Scher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Arcivescovo caldeo di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Seert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Tomaso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Audo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Arcivescovo caldeo di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Ourmiah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Abraham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Yacob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Vescovo caldeo di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Djeziret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Avrei anche potuto scegliere la coraggiosa e davvero eroica figura del Lazzarista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Jacques Emile Sontag, Delegato apostolico in Persia, massacrato in luglio 1918 insieme ad altri missionari lazzaristi (L’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Hôtellier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Dinkha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Miraziz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r w:rsidR="007C531C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- a cui appunto si dedicano il prof. </w:t>
      </w:r>
      <w:proofErr w:type="spellStart"/>
      <w:r w:rsidR="007C531C" w:rsidRPr="003A6D83">
        <w:rPr>
          <w:rFonts w:ascii="Times New Roman" w:hAnsi="Times New Roman" w:cs="Times New Roman"/>
          <w:sz w:val="24"/>
          <w:szCs w:val="24"/>
          <w:lang w:val="it-IT"/>
        </w:rPr>
        <w:t>Yacoub</w:t>
      </w:r>
      <w:proofErr w:type="spellEnd"/>
      <w:r w:rsidR="007C531C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sua </w:t>
      </w:r>
      <w:r w:rsidR="007C531C" w:rsidRPr="003A6D8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moglie Claire -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non senza dimenticare l’assassinio odioso del Patriarca assiro Mar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Shimoun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XIX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Benyamin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>. Ma visto che la dolorosa storia dei cristiani perseguitati continua a ripetersi con altre minacce, vessazioni, strag</w:t>
      </w:r>
      <w:r w:rsidR="00C67151" w:rsidRPr="003A6D8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ed esodi - 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abbiamo di nuovo sentito recentemente durante l’invasione turca in Siria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 nomi di luogo come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Kobane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Camichli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Erbil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– volevo fare un collegamento con i martiri caldei recenti. Quest’idea mi era venuta la v</w:t>
      </w:r>
      <w:r w:rsidR="00C67151" w:rsidRPr="003A6D83">
        <w:rPr>
          <w:rFonts w:ascii="Times New Roman" w:hAnsi="Times New Roman" w:cs="Times New Roman"/>
          <w:sz w:val="24"/>
          <w:szCs w:val="24"/>
          <w:lang w:val="it-IT"/>
        </w:rPr>
        <w:t>igilia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della visita del Patriarca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Sako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al PIO nel febbraio 201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appunto per incontrarmi sullo studio che stavo facendo. L’incontro a cui fu presente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Noel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Farman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fu molto cordiale (vedete qui la foto di noi tre). Il Patriarca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Sako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colse subito l’idea e propose tre vittim</w:t>
      </w:r>
      <w:r w:rsidR="00C67151" w:rsidRPr="003A6D8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dei terroristi islamici: Suor Cecilia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Moshi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Hanna, Padre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Ragheed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Aziz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Ganni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il Vescovo Mar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Paulos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Faraj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Rahoo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Fu 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anche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decis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su proposta del Patriarca </w:t>
      </w:r>
      <w:proofErr w:type="spellStart"/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>Sako</w:t>
      </w:r>
      <w:proofErr w:type="spellEnd"/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che 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titolo 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definitivo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dell’oper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 sarebbe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la Questione non semplicemente caldea, ma la Questione </w:t>
      </w:r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Caldea e Assira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per sottolineare la sorte 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comune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unisce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ambedue le comunità 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 i loro martiri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in una sola comunione di Sangue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versato per il Nome di Cristo. </w:t>
      </w:r>
    </w:p>
    <w:p w14:paraId="3EC764E1" w14:textId="0819CFD7" w:rsidR="00621C95" w:rsidRPr="003A6D83" w:rsidRDefault="00621C95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Qui voglio anche menzionare Don 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Luis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Escalante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il postulatore per </w:t>
      </w:r>
      <w:r w:rsidR="008141AA" w:rsidRPr="003A6D83">
        <w:rPr>
          <w:rFonts w:ascii="Times New Roman" w:hAnsi="Times New Roman" w:cs="Times New Roman"/>
          <w:sz w:val="24"/>
          <w:szCs w:val="24"/>
          <w:lang w:val="it-IT"/>
        </w:rPr>
        <w:t>molteplici cause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di beatificazione dei martiri caldei, che è stato uno dei primi e uno dei più entusiasti sostenitori della mia opera. Quante volte </w:t>
      </w:r>
      <w:r w:rsidRPr="003A6D83">
        <w:rPr>
          <w:rFonts w:ascii="Times New Roman" w:hAnsi="Times New Roman" w:cs="Times New Roman"/>
          <w:strike/>
          <w:sz w:val="24"/>
          <w:szCs w:val="24"/>
          <w:lang w:val="it-IT"/>
        </w:rPr>
        <w:t xml:space="preserve">non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mi disse che aveva bisogno della mia </w:t>
      </w:r>
      <w:r w:rsidR="00191449" w:rsidRPr="003A6D83">
        <w:rPr>
          <w:rFonts w:ascii="Times New Roman" w:hAnsi="Times New Roman" w:cs="Times New Roman"/>
          <w:sz w:val="24"/>
          <w:szCs w:val="24"/>
          <w:lang w:val="it-IT"/>
        </w:rPr>
        <w:t>documentazione!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E6C63" w:rsidRPr="003A6D83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lui che per primo </w:t>
      </w:r>
      <w:r w:rsidR="00DE6C63" w:rsidRPr="003A6D83">
        <w:rPr>
          <w:rFonts w:ascii="Times New Roman" w:hAnsi="Times New Roman" w:cs="Times New Roman"/>
          <w:sz w:val="24"/>
          <w:szCs w:val="24"/>
          <w:lang w:val="it-IT"/>
        </w:rPr>
        <w:t>ha p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arlato al Patriarca </w:t>
      </w:r>
      <w:proofErr w:type="spellStart"/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>Sako</w:t>
      </w:r>
      <w:proofErr w:type="spellEnd"/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della mia ricerca.</w:t>
      </w:r>
    </w:p>
    <w:p w14:paraId="0275EB47" w14:textId="0A292AD4" w:rsidR="001B3E6C" w:rsidRPr="003A6D83" w:rsidRDefault="004D3947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>Per questo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so</w:t>
      </w:r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no eternamente debitore al Patriarca </w:t>
      </w:r>
      <w:proofErr w:type="spellStart"/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>Sako</w:t>
      </w:r>
      <w:proofErr w:type="spellEnd"/>
      <w:r w:rsidR="00621C95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>per il suo interesse 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per avermi </w:t>
      </w:r>
      <w:r w:rsidR="008141A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immediatamente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assicurato 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>il suo appoggio finanziario molto generoso</w:t>
      </w:r>
      <w:r w:rsidR="008141AA" w:rsidRPr="003A6D8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Un altro benefattore è l’</w:t>
      </w:r>
      <w:r w:rsidR="00FE7CDF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Oeuvre d’</w:t>
      </w:r>
      <w:proofErr w:type="spellStart"/>
      <w:r w:rsidR="00FE7CDF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Orient</w:t>
      </w:r>
      <w:proofErr w:type="spellEnd"/>
      <w:r w:rsidR="00FE7CDF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>che voglio ringraziare nella persona d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>el suo Direttore Generale,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>Mgr</w:t>
      </w:r>
      <w:proofErr w:type="spellEnd"/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Pascal </w:t>
      </w:r>
      <w:proofErr w:type="spellStart"/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>Golnisch</w:t>
      </w:r>
      <w:proofErr w:type="spellEnd"/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che ha anche </w:t>
      </w:r>
      <w:r w:rsidR="00B37D7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elargito un </w:t>
      </w:r>
      <w:r w:rsidR="00FE7CDF" w:rsidRPr="003A6D83">
        <w:rPr>
          <w:rFonts w:ascii="Times New Roman" w:hAnsi="Times New Roman" w:cs="Times New Roman"/>
          <w:sz w:val="24"/>
          <w:szCs w:val="24"/>
          <w:lang w:val="it-IT"/>
        </w:rPr>
        <w:t>contribuito per la realizzazione di quest’opera.</w:t>
      </w:r>
    </w:p>
    <w:p w14:paraId="00CFA69D" w14:textId="685CAAE7" w:rsidR="00FE7CDF" w:rsidRPr="003A6D83" w:rsidRDefault="00DE6C63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Invece di far uscire i volumi uno per uno come per </w:t>
      </w:r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La Questione Armena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ho deciso </w:t>
      </w:r>
      <w:r w:rsidR="00B37D76" w:rsidRPr="003A6D83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far uscire </w:t>
      </w:r>
      <w:r w:rsidR="00B37D7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tutti </w:t>
      </w:r>
      <w:r w:rsidR="004D3947" w:rsidRPr="003A6D8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quattro </w:t>
      </w:r>
      <w:r w:rsidR="004D3947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volumi insieme, raggruppando i vari indici in un</w:t>
      </w:r>
      <w:r w:rsidR="00B37D7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ultimo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volume separato, ciò che permette la consultazione simultanea d</w:t>
      </w:r>
      <w:r w:rsidR="00762B9E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ei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volumi. Non nascondo che è stata una sfida per me che non avrei mai potuto portare a buon porto senza l’appoggio finanziario e l’aiuto professionale d</w:t>
      </w:r>
      <w:r w:rsidR="004D3947" w:rsidRPr="003A6D83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Dr</w:t>
      </w:r>
      <w:r w:rsidR="00191449" w:rsidRPr="003A6D8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6D83">
        <w:rPr>
          <w:rFonts w:ascii="Times New Roman" w:hAnsi="Times New Roman" w:cs="Times New Roman"/>
          <w:sz w:val="24"/>
          <w:szCs w:val="24"/>
          <w:lang w:val="it-IT"/>
        </w:rPr>
        <w:t>Pirolli</w:t>
      </w:r>
      <w:proofErr w:type="spellEnd"/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che ha curato nei minimi dettagli l</w:t>
      </w:r>
      <w:r w:rsidR="005E626B" w:rsidRPr="003A6D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B37D76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eccellenza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editoriale di questa edizione. </w:t>
      </w:r>
    </w:p>
    <w:p w14:paraId="6E529576" w14:textId="0AC8DBF9" w:rsidR="005E626B" w:rsidRPr="003A6D83" w:rsidRDefault="005E626B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Posso ancora abusare della vostra pazienza? 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 sono concesso a me stesso un’onorificenza: quella della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Sacra Tartaruga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!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composta da una sola classe e da un solo membro!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Me stesso!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Ah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!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ma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allora devo raccontarvi un be</w:t>
      </w:r>
      <w:r w:rsidR="004D3947" w:rsidRPr="003A6D8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4D3947" w:rsidRPr="003A6D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aneddoto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! N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on è un fioretto, ma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gari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lo diventerà. Quando venne Papa Francesco in visita al PIO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appunto il 12 ottobre 201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per il centenario del PIO, ma era anche il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giorno de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i miei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50 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anni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ebbi l’occasione di offrire al Papa i sette volumi della </w:t>
      </w:r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Questione Armena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Gli vengono presentato il cofanetto con i detti volumi.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E lui mi guarda negli occhi con il suo sguardo penetrante… ma “che pazienza”. Rispos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i: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Papa Francesco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! s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ono andato avanti ogni giorno come una piccola tartaruga, lentissim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ma paziente ed in fine sono arrivato al termine… quindi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lastRenderedPageBreak/>
        <w:t>come una piccola tartaruga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ho lavorato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giorno dopo giorno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”. Lui mi 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>rispose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: “quando 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futuro verr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ò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>a Santa Maria Maggiore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– e sappiamo che lui viene spesso prima di ogni viaggio apostolico - 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mi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ricorderò</w:t>
      </w:r>
      <w:r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della piccola tartaruga 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>che sta al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PIO”. Va benissimo: ma poi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recentemente, cioè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il mese di settembre scorso abbiamo avuto un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udienza con Papa Francesco nella Sala Clementina 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occasione del cinquantesimo anniversario della </w:t>
      </w:r>
      <w:r w:rsidR="00F54681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Society for the </w:t>
      </w:r>
      <w:proofErr w:type="spellStart"/>
      <w:r w:rsidR="00F54681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Study</w:t>
      </w:r>
      <w:proofErr w:type="spellEnd"/>
      <w:r w:rsidR="00F54681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of the Law of the </w:t>
      </w:r>
      <w:proofErr w:type="spellStart"/>
      <w:r w:rsidR="00F54681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Eastern</w:t>
      </w:r>
      <w:proofErr w:type="spellEnd"/>
      <w:r w:rsidR="00F54681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="00F54681"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Churches</w:t>
      </w:r>
      <w:proofErr w:type="spellEnd"/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ero il penultimo a salutarlo e </w:t>
      </w:r>
      <w:r w:rsidR="00191449" w:rsidRPr="003A6D83">
        <w:rPr>
          <w:rFonts w:ascii="Times New Roman" w:hAnsi="Times New Roman" w:cs="Times New Roman"/>
          <w:sz w:val="24"/>
          <w:szCs w:val="24"/>
          <w:lang w:val="it-IT"/>
        </w:rPr>
        <w:t>mi permisi di dirgli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queste parole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: “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>Papa Francesco, s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ono la piccola tartaruga del PIO!” Mi guarda con gli occhi attoniti, 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ma sì Santo Padre non si ricorda di 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>me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?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E lui guardandomi ancora 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più negli occhi, mi disse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“Ah certo ma si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!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”. Ed io </w:t>
      </w:r>
      <w:r w:rsidR="00CA5E59" w:rsidRPr="003A6D8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rispondergli: “Ma è per questo che sono il penultimo a salutarla… ho messo un po’ di tempo per scendere da Santa Maria Maggiore 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>pe</w:t>
      </w:r>
      <w:r w:rsidR="0016163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r risalire qui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in Vaticano”.</w:t>
      </w:r>
      <w:r w:rsidR="00014FBB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 Il Papa scoppiò a ridere</w:t>
      </w:r>
      <w:r w:rsidR="008141AA" w:rsidRPr="003A6D8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F54681" w:rsidRPr="003A6D83">
        <w:rPr>
          <w:rFonts w:ascii="Times New Roman" w:hAnsi="Times New Roman" w:cs="Times New Roman"/>
          <w:sz w:val="24"/>
          <w:szCs w:val="24"/>
          <w:lang w:val="it-IT"/>
        </w:rPr>
        <w:t>Fu per me il più bel incontro con Papa Francesco.</w:t>
      </w:r>
    </w:p>
    <w:p w14:paraId="393781C5" w14:textId="1A00AE91" w:rsidR="00B37D76" w:rsidRPr="003A6D83" w:rsidRDefault="003A6D83" w:rsidP="003A6D83">
      <w:pPr>
        <w:spacing w:line="360" w:lineRule="auto"/>
        <w:ind w:left="-720" w:right="-720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proofErr w:type="spellStart"/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Geroges</w:t>
      </w:r>
      <w:proofErr w:type="spellEnd"/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-H. </w:t>
      </w:r>
      <w:proofErr w:type="spellStart"/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>Ruyssen</w:t>
      </w:r>
      <w:proofErr w:type="spellEnd"/>
      <w:r w:rsidRPr="003A6D8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SJ</w:t>
      </w:r>
    </w:p>
    <w:p w14:paraId="217A3DE6" w14:textId="77777777" w:rsidR="00B37D76" w:rsidRPr="003A6D83" w:rsidRDefault="00B37D76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9A57765" w14:textId="77777777" w:rsidR="001B3E6C" w:rsidRPr="003A6D83" w:rsidRDefault="001B3E6C" w:rsidP="003A6D83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1B3E6C" w:rsidRPr="003A6D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69B2" w14:textId="77777777" w:rsidR="004E5EF7" w:rsidRDefault="004E5EF7" w:rsidP="00791006">
      <w:pPr>
        <w:spacing w:after="0" w:line="240" w:lineRule="auto"/>
      </w:pPr>
      <w:r>
        <w:separator/>
      </w:r>
    </w:p>
  </w:endnote>
  <w:endnote w:type="continuationSeparator" w:id="0">
    <w:p w14:paraId="09C78A20" w14:textId="77777777" w:rsidR="004E5EF7" w:rsidRDefault="004E5EF7" w:rsidP="0079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870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A6E87" w14:textId="36FA4428" w:rsidR="00791006" w:rsidRDefault="0079100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5CAA0" w14:textId="77777777" w:rsidR="00791006" w:rsidRDefault="007910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75B7" w14:textId="77777777" w:rsidR="004E5EF7" w:rsidRDefault="004E5EF7" w:rsidP="00791006">
      <w:pPr>
        <w:spacing w:after="0" w:line="240" w:lineRule="auto"/>
      </w:pPr>
      <w:r>
        <w:separator/>
      </w:r>
    </w:p>
  </w:footnote>
  <w:footnote w:type="continuationSeparator" w:id="0">
    <w:p w14:paraId="77C24FE7" w14:textId="77777777" w:rsidR="004E5EF7" w:rsidRDefault="004E5EF7" w:rsidP="0079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36"/>
    <w:rsid w:val="00014FBB"/>
    <w:rsid w:val="00040122"/>
    <w:rsid w:val="000B3AA9"/>
    <w:rsid w:val="000E1795"/>
    <w:rsid w:val="0016163B"/>
    <w:rsid w:val="00191449"/>
    <w:rsid w:val="001A6FB5"/>
    <w:rsid w:val="001B3E6C"/>
    <w:rsid w:val="001D1813"/>
    <w:rsid w:val="00237454"/>
    <w:rsid w:val="00251B57"/>
    <w:rsid w:val="00255075"/>
    <w:rsid w:val="003A6D83"/>
    <w:rsid w:val="00405436"/>
    <w:rsid w:val="0047108E"/>
    <w:rsid w:val="004A6286"/>
    <w:rsid w:val="004D3947"/>
    <w:rsid w:val="004E5EF7"/>
    <w:rsid w:val="005924A0"/>
    <w:rsid w:val="005E626B"/>
    <w:rsid w:val="00621C95"/>
    <w:rsid w:val="00670B12"/>
    <w:rsid w:val="007319F2"/>
    <w:rsid w:val="0075168D"/>
    <w:rsid w:val="00762B9E"/>
    <w:rsid w:val="00791006"/>
    <w:rsid w:val="007C531C"/>
    <w:rsid w:val="007D2BBF"/>
    <w:rsid w:val="008141AA"/>
    <w:rsid w:val="0085080F"/>
    <w:rsid w:val="0085693C"/>
    <w:rsid w:val="0089658B"/>
    <w:rsid w:val="008E4B30"/>
    <w:rsid w:val="00932A60"/>
    <w:rsid w:val="00970436"/>
    <w:rsid w:val="00982A32"/>
    <w:rsid w:val="00995E5C"/>
    <w:rsid w:val="009A6672"/>
    <w:rsid w:val="00A0289B"/>
    <w:rsid w:val="00A85B05"/>
    <w:rsid w:val="00B23EFA"/>
    <w:rsid w:val="00B37D76"/>
    <w:rsid w:val="00C67151"/>
    <w:rsid w:val="00CA5E59"/>
    <w:rsid w:val="00D228A3"/>
    <w:rsid w:val="00D44C97"/>
    <w:rsid w:val="00D907BD"/>
    <w:rsid w:val="00DE6C63"/>
    <w:rsid w:val="00E71A7F"/>
    <w:rsid w:val="00EA5474"/>
    <w:rsid w:val="00EF0CC2"/>
    <w:rsid w:val="00F303F6"/>
    <w:rsid w:val="00F54681"/>
    <w:rsid w:val="00F931D0"/>
    <w:rsid w:val="00FD188F"/>
    <w:rsid w:val="00FE7CDF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AB8D"/>
  <w15:chartTrackingRefBased/>
  <w15:docId w15:val="{6C5241AF-5B62-4F4E-8D17-1F820EBC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A66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6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6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6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6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67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9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006"/>
  </w:style>
  <w:style w:type="paragraph" w:styleId="Pidipagina">
    <w:name w:val="footer"/>
    <w:basedOn w:val="Normale"/>
    <w:link w:val="PidipaginaCarattere"/>
    <w:uiPriority w:val="99"/>
    <w:unhideWhenUsed/>
    <w:rsid w:val="0079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670D-F0CC-754D-B708-BA4B47BF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Henri Ruyssen</dc:creator>
  <cp:keywords/>
  <dc:description/>
  <cp:lastModifiedBy>RAJI AL BDEIWI</cp:lastModifiedBy>
  <cp:revision>2</cp:revision>
  <dcterms:created xsi:type="dcterms:W3CDTF">2019-11-10T16:58:00Z</dcterms:created>
  <dcterms:modified xsi:type="dcterms:W3CDTF">2019-11-10T16:58:00Z</dcterms:modified>
</cp:coreProperties>
</file>